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44" w:line="253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RESOLUCION No. TAT- 2342-2014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43" w:line="270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TRIBUNAL ADMINISTRATIVO DE TRANSPORTE. San </w:t>
      </w:r>
      <w:r w:rsidR="009D5EE9">
        <w:rPr>
          <w:rStyle w:val="CharacterStyle1"/>
          <w:rFonts w:ascii="Verdana" w:hAnsi="Verdana" w:cs="Verdana"/>
          <w:b/>
          <w:bCs/>
          <w:sz w:val="22"/>
          <w:szCs w:val="22"/>
        </w:rPr>
        <w:t>José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z w:val="22"/>
          <w:szCs w:val="22"/>
        </w:rPr>
        <w:t>a las diez horas once minutos del treinta de setiembre de dos mil catorce.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272" w:line="270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Recurso de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y Nulidad concomitante, presentado por la empresa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T</w:t>
      </w:r>
      <w:r w:rsidR="009D5EE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.C.P.L.,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c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é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dula </w:t>
      </w:r>
      <w:proofErr w:type="gramStart"/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jurídica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…</w:t>
      </w:r>
      <w:proofErr w:type="gramEnd"/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, por medio de sus representantes en calidad de Apoderados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Generalísimos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sin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límite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suma,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señores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A</w:t>
      </w:r>
      <w:r w:rsidR="009D5EE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.S.A.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</w:t>
      </w:r>
      <w:r w:rsidR="00370056">
        <w:rPr>
          <w:rStyle w:val="CharacterStyle1"/>
          <w:rFonts w:ascii="Verdana" w:hAnsi="Verdana" w:cs="Verdana"/>
          <w:spacing w:val="4"/>
          <w:sz w:val="22"/>
          <w:szCs w:val="22"/>
        </w:rPr>
        <w:t>cédula de identidad nú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mero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…,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y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T</w:t>
      </w:r>
      <w:r w:rsidR="009D5EE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.A.G.W.,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</w:t>
      </w:r>
      <w:r w:rsidR="00370056">
        <w:rPr>
          <w:rStyle w:val="CharacterStyle1"/>
          <w:rFonts w:ascii="Verdana" w:hAnsi="Verdana" w:cs="Verdana"/>
          <w:spacing w:val="4"/>
          <w:sz w:val="22"/>
          <w:szCs w:val="22"/>
        </w:rPr>
        <w:t>cédula de identidad nú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mero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…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, contra el acuerdo 5.2.110 de la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Ordinaria 25-2014 de 3 de abril de 2014, de la Junta Directiva del Consejo de Transporte </w:t>
      </w:r>
      <w:r w:rsidR="009D5EE9">
        <w:rPr>
          <w:rStyle w:val="CharacterStyle1"/>
          <w:rFonts w:ascii="Verdana" w:hAnsi="Verdana" w:cs="Verdana"/>
          <w:spacing w:val="4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. El caso se tramita bajo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Expediente Administrativo No. TAT-119</w:t>
      </w:r>
      <w:r w:rsidR="009D5EE9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-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softHyphen/>
        <w:t>14.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63" w:line="253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-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-1"/>
          <w:sz w:val="22"/>
          <w:szCs w:val="22"/>
        </w:rPr>
        <w:t>RESULTANDOS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68" w:line="270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PRIMERO: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La Recurrente presenta recurso de </w:t>
      </w:r>
      <w:r w:rsidR="009D5EE9">
        <w:rPr>
          <w:rStyle w:val="CharacterStyle1"/>
          <w:rFonts w:ascii="Verdana" w:hAnsi="Verdana" w:cs="Verdana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Nulidad concomitante parcial contra el "Por</w:t>
      </w:r>
      <w:r w:rsidR="005E63C3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 xml:space="preserve">tanto" segundo del acuerdo 5.2.110 de </w:t>
      </w:r>
      <w:r w:rsidR="009D5EE9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9D5EE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25-</w:t>
      </w:r>
      <w:r w:rsidR="009D5EE9">
        <w:rPr>
          <w:rStyle w:val="CharacterStyle1"/>
          <w:rFonts w:ascii="Verdana" w:hAnsi="Verdana" w:cs="Verdana"/>
          <w:sz w:val="22"/>
          <w:szCs w:val="22"/>
        </w:rPr>
        <w:t>2014 de 3 de abril de 2014,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Junta Directiva del Consejo de Transporte </w:t>
      </w:r>
      <w:r w:rsidR="009D5EE9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>, en lo relativo al rec</w:t>
      </w:r>
      <w:r w:rsidR="009D5EE9">
        <w:rPr>
          <w:rStyle w:val="CharacterStyle1"/>
          <w:rFonts w:ascii="Verdana" w:hAnsi="Verdana" w:cs="Verdana"/>
          <w:sz w:val="22"/>
          <w:szCs w:val="22"/>
        </w:rPr>
        <w:t>orrido descrito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ruta 601 ya que </w:t>
      </w:r>
      <w:r w:rsidR="009D5EE9">
        <w:rPr>
          <w:rStyle w:val="CharacterStyle1"/>
          <w:rFonts w:ascii="Verdana" w:hAnsi="Verdana" w:cs="Verdana"/>
          <w:sz w:val="22"/>
          <w:szCs w:val="22"/>
        </w:rPr>
        <w:t>según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la empresa T</w:t>
      </w:r>
      <w:r w:rsidR="009D5EE9">
        <w:rPr>
          <w:rStyle w:val="CharacterStyle1"/>
          <w:rFonts w:ascii="Verdana" w:hAnsi="Verdana" w:cs="Verdana"/>
          <w:sz w:val="22"/>
          <w:szCs w:val="22"/>
        </w:rPr>
        <w:t>.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La Junta Directiva sin </w:t>
      </w:r>
      <w:r w:rsidR="009D5EE9">
        <w:rPr>
          <w:rStyle w:val="CharacterStyle1"/>
          <w:rFonts w:ascii="Verdana" w:hAnsi="Verdana" w:cs="Verdana"/>
          <w:sz w:val="22"/>
          <w:szCs w:val="22"/>
        </w:rPr>
        <w:t>motivación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alguna se aparta del criterio </w:t>
      </w:r>
      <w:r w:rsidR="009D5EE9">
        <w:rPr>
          <w:rStyle w:val="CharacterStyle1"/>
          <w:rFonts w:ascii="Verdana" w:hAnsi="Verdana" w:cs="Verdana"/>
          <w:sz w:val="22"/>
          <w:szCs w:val="22"/>
        </w:rPr>
        <w:t>técnico y excluye de dicha ruta l</w:t>
      </w:r>
      <w:r>
        <w:rPr>
          <w:rStyle w:val="CharacterStyle1"/>
          <w:rFonts w:ascii="Verdana" w:hAnsi="Verdana" w:cs="Verdana"/>
          <w:sz w:val="22"/>
          <w:szCs w:val="22"/>
        </w:rPr>
        <w:t>a comunidad de Buenos Aires de Osa cuando siempre ha sido p</w:t>
      </w:r>
      <w:r w:rsidR="009D5EE9">
        <w:rPr>
          <w:rStyle w:val="CharacterStyle1"/>
          <w:rFonts w:ascii="Verdana" w:hAnsi="Verdana" w:cs="Verdana"/>
          <w:sz w:val="22"/>
          <w:szCs w:val="22"/>
        </w:rPr>
        <w:t>a</w:t>
      </w:r>
      <w:r>
        <w:rPr>
          <w:rStyle w:val="CharacterStyle1"/>
          <w:rFonts w:ascii="Verdana" w:hAnsi="Verdana" w:cs="Verdana"/>
          <w:sz w:val="22"/>
          <w:szCs w:val="22"/>
        </w:rPr>
        <w:t>rte de su recorrido (</w:t>
      </w:r>
      <w:r w:rsidR="009D5EE9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del 9 al 44 del expediente administrativo)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276" w:line="270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SEGUNDO: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La empresa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T</w:t>
      </w:r>
      <w:r w:rsidR="009D5EE9">
        <w:rPr>
          <w:rStyle w:val="CharacterStyle1"/>
          <w:rFonts w:ascii="Verdana" w:hAnsi="Verdana" w:cs="Verdana"/>
          <w:b/>
          <w:bCs/>
          <w:sz w:val="22"/>
          <w:szCs w:val="22"/>
        </w:rPr>
        <w:t>.C.P.L.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el 9 de setiembre de 2014, se apersona ante el Tribunal Administrativo de Transporte y manifiesta, que el Consejo de Transporte </w:t>
      </w:r>
      <w:r w:rsidR="009D5EE9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mediante acuerdo 7.1 de la </w:t>
      </w:r>
      <w:r w:rsidR="009D5EE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45-2014 acoge incidente de nulidad presentado contra el acuerdo 7.2 de la </w:t>
      </w:r>
      <w:r w:rsidR="009D5EE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97-2013 y disp</w:t>
      </w:r>
      <w:r w:rsidR="009D5EE9">
        <w:rPr>
          <w:rStyle w:val="CharacterStyle1"/>
          <w:rFonts w:ascii="Verdana" w:hAnsi="Verdana" w:cs="Verdana"/>
          <w:sz w:val="22"/>
          <w:szCs w:val="22"/>
        </w:rPr>
        <w:t>one incluir en el recorrido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ruta numero 601 la comunidad de Buenos Aires de Osa, restableciendo </w:t>
      </w:r>
      <w:r w:rsidR="009D5EE9">
        <w:rPr>
          <w:rStyle w:val="CharacterStyle1"/>
          <w:rFonts w:ascii="Verdana" w:hAnsi="Verdana" w:cs="Verdana"/>
          <w:sz w:val="22"/>
          <w:szCs w:val="22"/>
        </w:rPr>
        <w:t>así</w:t>
      </w:r>
      <w:r>
        <w:rPr>
          <w:rStyle w:val="CharacterStyle1"/>
          <w:rFonts w:ascii="Verdana" w:hAnsi="Verdana" w:cs="Verdana"/>
          <w:sz w:val="22"/>
          <w:szCs w:val="22"/>
        </w:rPr>
        <w:t xml:space="preserve"> los derechos de su representada. Por otro lado el Tribunal Administrativo de Transporte mediante </w:t>
      </w:r>
      <w:r w:rsidR="009D5EE9">
        <w:rPr>
          <w:rStyle w:val="CharacterStyle1"/>
          <w:rFonts w:ascii="Verdana" w:hAnsi="Verdana" w:cs="Verdana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numero 2336-2014 de las trece horas del doce de agosto de dos mil catorce, anula y deja sin efecto todo lo actuado en la </w:t>
      </w:r>
      <w:r w:rsidR="009D5EE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25-2014 de 3 de abril de 2014, dejando</w:t>
      </w:r>
    </w:p>
    <w:p w:rsidR="001B2805" w:rsidRDefault="001B2805">
      <w:pPr>
        <w:widowControl/>
        <w:kinsoku/>
        <w:overflowPunct/>
        <w:autoSpaceDE w:val="0"/>
        <w:autoSpaceDN w:val="0"/>
        <w:adjustRightInd w:val="0"/>
        <w:textAlignment w:val="auto"/>
        <w:sectPr w:rsidR="001B2805">
          <w:pgSz w:w="12120" w:h="15840"/>
          <w:pgMar w:top="1750" w:right="1482" w:bottom="311" w:left="1478" w:header="720" w:footer="720" w:gutter="0"/>
          <w:cols w:space="720"/>
          <w:noEndnote/>
        </w:sectPr>
      </w:pP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13" w:line="272" w:lineRule="exact"/>
        <w:ind w:right="72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proofErr w:type="gramStart"/>
      <w:r>
        <w:rPr>
          <w:rStyle w:val="CharacterStyle1"/>
          <w:rFonts w:ascii="Verdana" w:hAnsi="Verdana" w:cs="Verdana"/>
          <w:sz w:val="21"/>
          <w:szCs w:val="21"/>
        </w:rPr>
        <w:lastRenderedPageBreak/>
        <w:t>de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 existir el acuerdo impugnado en este caso, por lo que </w:t>
      </w:r>
      <w:r w:rsidR="009D5EE9">
        <w:rPr>
          <w:rStyle w:val="CharacterStyle1"/>
          <w:rFonts w:ascii="Verdana" w:hAnsi="Verdana" w:cs="Verdana"/>
          <w:sz w:val="21"/>
          <w:szCs w:val="21"/>
        </w:rPr>
        <w:t>solicita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se acoja el Desistimiento del Recurso de </w:t>
      </w:r>
      <w:r w:rsidR="009D5EE9">
        <w:rPr>
          <w:rStyle w:val="CharacterStyle1"/>
          <w:rFonts w:ascii="Verdana" w:hAnsi="Verdana" w:cs="Verdana"/>
          <w:sz w:val="21"/>
          <w:szCs w:val="21"/>
        </w:rPr>
        <w:t>Apelación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 incidente de Nulidad presentado. (</w:t>
      </w:r>
      <w:r w:rsidR="009D5EE9">
        <w:rPr>
          <w:rStyle w:val="CharacterStyle1"/>
          <w:rFonts w:ascii="Verdana" w:hAnsi="Verdana" w:cs="Verdana"/>
          <w:sz w:val="21"/>
          <w:szCs w:val="21"/>
        </w:rPr>
        <w:t>Léanse</w:t>
      </w:r>
      <w:r>
        <w:rPr>
          <w:rStyle w:val="CharacterStyle1"/>
          <w:rFonts w:ascii="Verdana" w:hAnsi="Verdana" w:cs="Verdana"/>
          <w:sz w:val="21"/>
          <w:szCs w:val="21"/>
        </w:rPr>
        <w:t xml:space="preserve"> folios del 49 al 54 del expediente administrativo.)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49" w:line="262" w:lineRule="exact"/>
        <w:ind w:right="72"/>
        <w:textAlignment w:val="baseline"/>
        <w:rPr>
          <w:rStyle w:val="CharacterStyle1"/>
          <w:rFonts w:ascii="Verdana" w:hAnsi="Verdana" w:cs="Verdana"/>
          <w:b/>
          <w:bCs/>
          <w:spacing w:val="-11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-11"/>
          <w:sz w:val="21"/>
          <w:szCs w:val="21"/>
        </w:rPr>
        <w:t>REDACTA LA JUEZA PEREZ PELAEZ: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46" w:line="262" w:lineRule="exact"/>
        <w:ind w:right="72"/>
        <w:jc w:val="center"/>
        <w:textAlignment w:val="baseline"/>
        <w:rPr>
          <w:rStyle w:val="CharacterStyle1"/>
          <w:rFonts w:ascii="Verdana" w:hAnsi="Verdana" w:cs="Verdana"/>
          <w:b/>
          <w:bCs/>
          <w:spacing w:val="7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7"/>
          <w:sz w:val="21"/>
          <w:szCs w:val="21"/>
        </w:rPr>
        <w:t>CONSIDERANDO UNICO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44" w:line="272" w:lineRule="exact"/>
        <w:ind w:right="72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Mediante escrito presentado en este Tribunal en fecha 9 de setiembre de 2014, los representantes de la empresa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T</w:t>
      </w:r>
      <w:r w:rsidR="009D5EE9">
        <w:rPr>
          <w:rStyle w:val="CharacterStyle1"/>
          <w:rFonts w:ascii="Verdana" w:hAnsi="Verdana" w:cs="Verdana"/>
          <w:b/>
          <w:bCs/>
          <w:sz w:val="21"/>
          <w:szCs w:val="21"/>
        </w:rPr>
        <w:t>.C.P.L.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z w:val="21"/>
          <w:szCs w:val="21"/>
        </w:rPr>
        <w:t>indican: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288" w:line="267" w:lineRule="exact"/>
        <w:ind w:left="1152" w:right="72"/>
        <w:jc w:val="both"/>
        <w:textAlignment w:val="baseline"/>
        <w:rPr>
          <w:rStyle w:val="CharacterStyle1"/>
          <w:rFonts w:ascii="Verdana" w:hAnsi="Verdana" w:cs="Verdana"/>
          <w:i/>
          <w:iCs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i/>
          <w:iCs/>
          <w:sz w:val="21"/>
          <w:szCs w:val="21"/>
          <w:u w:val="single"/>
        </w:rPr>
        <w:t xml:space="preserve">"Como consecuencia de lo anterior, solicito sea acogido el DESISTIMIENTO y se PROCEDA A ARCHIVAR EL EXCPEDIENTE </w:t>
      </w:r>
      <w:r>
        <w:rPr>
          <w:rStyle w:val="CharacterStyle1"/>
          <w:rFonts w:ascii="Arial" w:hAnsi="Arial" w:cs="Arial"/>
          <w:b/>
          <w:bCs/>
          <w:i/>
          <w:iCs/>
          <w:sz w:val="22"/>
          <w:szCs w:val="22"/>
          <w:u w:val="single"/>
        </w:rPr>
        <w:t>(sic)."</w:t>
      </w:r>
      <w:r>
        <w:rPr>
          <w:rStyle w:val="CharacterStyle1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>
        <w:rPr>
          <w:rStyle w:val="CharacterStyle1"/>
          <w:rFonts w:ascii="Arial" w:hAnsi="Arial" w:cs="Arial"/>
          <w:b/>
          <w:bCs/>
          <w:i/>
          <w:iCs/>
          <w:sz w:val="22"/>
          <w:szCs w:val="22"/>
        </w:rPr>
        <w:t xml:space="preserve">( 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>Lo</w:t>
      </w:r>
      <w:proofErr w:type="gramEnd"/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 resaltado es nuestro)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528" w:line="272" w:lineRule="exact"/>
        <w:ind w:left="216" w:right="72"/>
        <w:jc w:val="both"/>
        <w:textAlignment w:val="baseline"/>
        <w:rPr>
          <w:rStyle w:val="CharacterStyle1"/>
          <w:rFonts w:ascii="Verdana" w:hAnsi="Verdana" w:cs="Verdana"/>
          <w:spacing w:val="4"/>
          <w:sz w:val="21"/>
          <w:szCs w:val="21"/>
        </w:rPr>
      </w:pP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Visto lo anterior y de conformidad con el 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artículo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 337 de la Ley General de la 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Administración Pú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>blica existe la figura del Desistimiento como una forma anormal de terminaci6n del procedimiento administrativo, al respecto reza el citado numeral: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277" w:line="269" w:lineRule="exact"/>
        <w:ind w:left="1152" w:right="72"/>
        <w:textAlignment w:val="baseline"/>
        <w:rPr>
          <w:rStyle w:val="CharacterStyle1"/>
          <w:rFonts w:ascii="Verdana" w:hAnsi="Verdana" w:cs="Verdana"/>
          <w:i/>
          <w:iCs/>
          <w:sz w:val="21"/>
          <w:szCs w:val="21"/>
          <w:u w:val="single"/>
        </w:rPr>
      </w:pP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"Articulo 337. 1. </w:t>
      </w:r>
      <w:r>
        <w:rPr>
          <w:rStyle w:val="CharacterStyle1"/>
          <w:rFonts w:ascii="Verdana" w:hAnsi="Verdana" w:cs="Verdana"/>
          <w:i/>
          <w:iCs/>
          <w:sz w:val="21"/>
          <w:szCs w:val="21"/>
          <w:u w:val="single"/>
        </w:rPr>
        <w:t xml:space="preserve">Todo interesado </w:t>
      </w:r>
      <w:r w:rsidR="009D5EE9">
        <w:rPr>
          <w:rStyle w:val="CharacterStyle1"/>
          <w:rFonts w:ascii="Verdana" w:hAnsi="Verdana" w:cs="Verdana"/>
          <w:i/>
          <w:iCs/>
          <w:sz w:val="21"/>
          <w:szCs w:val="21"/>
          <w:u w:val="single"/>
        </w:rPr>
        <w:t>podrá</w:t>
      </w:r>
      <w:r>
        <w:rPr>
          <w:rStyle w:val="CharacterStyle1"/>
          <w:rFonts w:ascii="Verdana" w:hAnsi="Verdana" w:cs="Verdana"/>
          <w:i/>
          <w:iCs/>
          <w:sz w:val="21"/>
          <w:szCs w:val="21"/>
          <w:u w:val="single"/>
        </w:rPr>
        <w:t xml:space="preserve"> desistir de su </w:t>
      </w:r>
      <w:r w:rsidR="009D5EE9">
        <w:rPr>
          <w:rStyle w:val="CharacterStyle1"/>
          <w:rFonts w:ascii="Verdana" w:hAnsi="Verdana" w:cs="Verdana"/>
          <w:i/>
          <w:iCs/>
          <w:sz w:val="21"/>
          <w:szCs w:val="21"/>
          <w:u w:val="single"/>
        </w:rPr>
        <w:t>petición</w:t>
      </w:r>
      <w:r>
        <w:rPr>
          <w:rStyle w:val="CharacterStyle1"/>
          <w:rFonts w:ascii="Verdana" w:hAnsi="Verdana" w:cs="Verdana"/>
          <w:i/>
          <w:iCs/>
          <w:sz w:val="21"/>
          <w:szCs w:val="21"/>
          <w:u w:val="single"/>
        </w:rPr>
        <w:t>,  instancia o recurso.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4" w:line="273" w:lineRule="exact"/>
        <w:ind w:left="1152" w:right="72"/>
        <w:textAlignment w:val="baseline"/>
        <w:rPr>
          <w:rStyle w:val="CharacterStyle1"/>
          <w:rFonts w:ascii="Verdana" w:hAnsi="Verdana" w:cs="Verdana"/>
          <w:i/>
          <w:iCs/>
          <w:sz w:val="21"/>
          <w:szCs w:val="21"/>
        </w:rPr>
      </w:pP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2. </w:t>
      </w:r>
      <w:r w:rsidR="009D5EE9">
        <w:rPr>
          <w:rStyle w:val="CharacterStyle1"/>
          <w:rFonts w:ascii="Verdana" w:hAnsi="Verdana" w:cs="Verdana"/>
          <w:i/>
          <w:iCs/>
          <w:sz w:val="21"/>
          <w:szCs w:val="21"/>
        </w:rPr>
        <w:t>También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 </w:t>
      </w:r>
      <w:r w:rsidR="009D5EE9">
        <w:rPr>
          <w:rStyle w:val="CharacterStyle1"/>
          <w:rFonts w:ascii="Verdana" w:hAnsi="Verdana" w:cs="Verdana"/>
          <w:i/>
          <w:iCs/>
          <w:sz w:val="21"/>
          <w:szCs w:val="21"/>
        </w:rPr>
        <w:t>podrá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 todo interesado renunciar a su derecho, cuando sea renunciable." </w:t>
      </w:r>
      <w:r>
        <w:rPr>
          <w:rStyle w:val="CharacterStyle1"/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 w:rsidRPr="009D5EE9">
        <w:rPr>
          <w:rStyle w:val="CharacterStyle1"/>
          <w:rFonts w:ascii="Arial" w:hAnsi="Arial" w:cs="Arial"/>
          <w:bCs/>
          <w:i/>
          <w:iCs/>
          <w:sz w:val="22"/>
          <w:szCs w:val="22"/>
        </w:rPr>
        <w:t>el</w:t>
      </w:r>
      <w:proofErr w:type="gramEnd"/>
      <w:r w:rsidRPr="009D5EE9">
        <w:rPr>
          <w:rStyle w:val="CharacterStyle1"/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D5EE9">
        <w:rPr>
          <w:rStyle w:val="CharacterStyle1"/>
          <w:rFonts w:ascii="Verdana" w:hAnsi="Verdana" w:cs="Verdana"/>
          <w:i/>
          <w:iCs/>
          <w:sz w:val="21"/>
          <w:szCs w:val="21"/>
        </w:rPr>
        <w:t>subrayado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 no es del original)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805" w:line="272" w:lineRule="exact"/>
        <w:ind w:left="216" w:right="72"/>
        <w:jc w:val="both"/>
        <w:textAlignment w:val="baseline"/>
        <w:rPr>
          <w:rStyle w:val="CharacterStyle1"/>
          <w:rFonts w:ascii="Verdana" w:hAnsi="Verdana" w:cs="Verdana"/>
          <w:spacing w:val="4"/>
          <w:sz w:val="21"/>
          <w:szCs w:val="21"/>
        </w:rPr>
      </w:pP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Asimismo de conformidad con el 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artículo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 181 de la Ley General de la 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 P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ú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blica, el actuar de este 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Órgano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 Colegiado como jerarca impropio se enmarca dentro de las pretensiones y cuestiones alegadas por las partes y siendo que con el desistimiento planteado las mismas desaparecen, lo procedente es tener por desistido el presente Recurso de </w:t>
      </w:r>
      <w:r w:rsidR="009D5EE9">
        <w:rPr>
          <w:rStyle w:val="CharacterStyle1"/>
          <w:rFonts w:ascii="Verdana" w:hAnsi="Verdana" w:cs="Verdana"/>
          <w:spacing w:val="4"/>
          <w:sz w:val="21"/>
          <w:szCs w:val="21"/>
        </w:rPr>
        <w:t>Apelación</w:t>
      </w:r>
      <w:r>
        <w:rPr>
          <w:rStyle w:val="CharacterStyle1"/>
          <w:rFonts w:ascii="Verdana" w:hAnsi="Verdana" w:cs="Verdana"/>
          <w:spacing w:val="4"/>
          <w:sz w:val="21"/>
          <w:szCs w:val="21"/>
        </w:rPr>
        <w:t xml:space="preserve"> y ordenar su archivo.</w:t>
      </w:r>
    </w:p>
    <w:p w:rsidR="001B2805" w:rsidRDefault="001B2805">
      <w:pPr>
        <w:widowControl/>
        <w:kinsoku/>
        <w:overflowPunct/>
        <w:autoSpaceDE w:val="0"/>
        <w:autoSpaceDN w:val="0"/>
        <w:adjustRightInd w:val="0"/>
        <w:textAlignment w:val="auto"/>
        <w:sectPr w:rsidR="001B2805">
          <w:pgSz w:w="12120" w:h="15840"/>
          <w:pgMar w:top="1720" w:right="1504" w:bottom="328" w:left="1456" w:header="720" w:footer="720" w:gutter="0"/>
          <w:cols w:space="720"/>
          <w:noEndnote/>
        </w:sectPr>
      </w:pP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20" w:line="261" w:lineRule="exact"/>
        <w:ind w:left="4536"/>
        <w:textAlignment w:val="baseline"/>
        <w:rPr>
          <w:rStyle w:val="CharacterStyle1"/>
          <w:rFonts w:ascii="Verdana" w:hAnsi="Verdana" w:cs="Verdana"/>
          <w:b/>
          <w:bCs/>
          <w:spacing w:val="-3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-3"/>
          <w:sz w:val="22"/>
          <w:szCs w:val="22"/>
        </w:rPr>
        <w:t>POR TANTO</w:t>
      </w:r>
    </w:p>
    <w:p w:rsidR="001B2805" w:rsidRDefault="005F770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61" w:line="27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Se acoge el Desistimiento presentado y se ordena el Archivo del Recurso de </w:t>
      </w:r>
      <w:r w:rsidR="009D5EE9">
        <w:rPr>
          <w:rStyle w:val="CharacterStyle1"/>
          <w:rFonts w:ascii="Verdana" w:hAnsi="Verdana" w:cs="Verdana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Nulidad concomitante presentado por la empresa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T</w:t>
      </w:r>
      <w:r w:rsidR="009D5EE9">
        <w:rPr>
          <w:rStyle w:val="CharacterStyle1"/>
          <w:rFonts w:ascii="Verdana" w:hAnsi="Verdana" w:cs="Verdana"/>
          <w:b/>
          <w:bCs/>
          <w:sz w:val="22"/>
          <w:szCs w:val="22"/>
        </w:rPr>
        <w:t>.C.P.P.L.,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cedula </w:t>
      </w:r>
      <w:proofErr w:type="gramStart"/>
      <w:r w:rsidR="009D5EE9">
        <w:rPr>
          <w:rStyle w:val="CharacterStyle1"/>
          <w:rFonts w:ascii="Verdana" w:hAnsi="Verdana" w:cs="Verdana"/>
          <w:sz w:val="22"/>
          <w:szCs w:val="22"/>
        </w:rPr>
        <w:t>jurídica</w:t>
      </w:r>
      <w:r w:rsidR="005C4EEB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9D5EE9">
        <w:rPr>
          <w:rStyle w:val="CharacterStyle1"/>
          <w:rFonts w:ascii="Verdana" w:hAnsi="Verdana" w:cs="Verdana"/>
          <w:sz w:val="22"/>
          <w:szCs w:val="22"/>
        </w:rPr>
        <w:t>…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, por medio de sus representantes en calidad de Apoderados </w:t>
      </w:r>
      <w:r w:rsidR="009D5EE9">
        <w:rPr>
          <w:rStyle w:val="CharacterStyle1"/>
          <w:rFonts w:ascii="Verdana" w:hAnsi="Verdana" w:cs="Verdana"/>
          <w:sz w:val="22"/>
          <w:szCs w:val="22"/>
        </w:rPr>
        <w:t>Generalísimos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sin </w:t>
      </w:r>
      <w:r w:rsidR="009D5EE9">
        <w:rPr>
          <w:rStyle w:val="CharacterStyle1"/>
          <w:rFonts w:ascii="Verdana" w:hAnsi="Verdana" w:cs="Verdana"/>
          <w:sz w:val="22"/>
          <w:szCs w:val="22"/>
        </w:rPr>
        <w:t>límite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suma, </w:t>
      </w:r>
      <w:r w:rsidR="009D5EE9">
        <w:rPr>
          <w:rStyle w:val="CharacterStyle1"/>
          <w:rFonts w:ascii="Verdana" w:hAnsi="Verdana" w:cs="Verdana"/>
          <w:sz w:val="22"/>
          <w:szCs w:val="22"/>
        </w:rPr>
        <w:t>señores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A</w:t>
      </w:r>
      <w:r w:rsidR="009D5EE9">
        <w:rPr>
          <w:rStyle w:val="CharacterStyle1"/>
          <w:rFonts w:ascii="Verdana" w:hAnsi="Verdana" w:cs="Verdana"/>
          <w:b/>
          <w:bCs/>
          <w:sz w:val="22"/>
          <w:szCs w:val="22"/>
        </w:rPr>
        <w:t>.S.A.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cedula de identidad numero </w:t>
      </w:r>
      <w:r w:rsidR="009D5EE9">
        <w:rPr>
          <w:rStyle w:val="CharacterStyle1"/>
          <w:rFonts w:ascii="Verdana" w:hAnsi="Verdana" w:cs="Verdana"/>
          <w:sz w:val="22"/>
          <w:szCs w:val="22"/>
        </w:rPr>
        <w:t>…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y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T</w:t>
      </w:r>
      <w:r w:rsidR="009D5EE9">
        <w:rPr>
          <w:rStyle w:val="CharacterStyle1"/>
          <w:rFonts w:ascii="Verdana" w:hAnsi="Verdana" w:cs="Verdana"/>
          <w:b/>
          <w:bCs/>
          <w:sz w:val="22"/>
          <w:szCs w:val="22"/>
        </w:rPr>
        <w:t>.A.G.W.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>cedula de identidad n</w:t>
      </w:r>
      <w:r w:rsidR="009D5EE9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mero </w:t>
      </w:r>
      <w:r w:rsidR="009D5EE9">
        <w:rPr>
          <w:rStyle w:val="CharacterStyle1"/>
          <w:rFonts w:ascii="Verdana" w:hAnsi="Verdana" w:cs="Verdana"/>
          <w:sz w:val="22"/>
          <w:szCs w:val="22"/>
        </w:rPr>
        <w:t>…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contra el acuerdo 5.2.110 de la </w:t>
      </w:r>
      <w:r w:rsidR="009D5EE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25-2014 de 3 de abril de 2014, de la Junta Directiva del Consejo de Transporte P6blico.</w:t>
      </w:r>
    </w:p>
    <w:p w:rsidR="001B2805" w:rsidRDefault="005F770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68" w:line="272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Por carecer la presente </w:t>
      </w:r>
      <w:r w:rsidR="009D5EE9">
        <w:rPr>
          <w:rStyle w:val="CharacterStyle1"/>
          <w:rFonts w:ascii="Verdana" w:hAnsi="Verdana" w:cs="Verdana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ulterior recurso en sede administrativa, de conformidad con los </w:t>
      </w:r>
      <w:r w:rsidR="009D5EE9">
        <w:rPr>
          <w:rStyle w:val="CharacterStyle1"/>
          <w:rFonts w:ascii="Verdana" w:hAnsi="Verdana" w:cs="Verdana"/>
          <w:sz w:val="22"/>
          <w:szCs w:val="22"/>
        </w:rPr>
        <w:t>artículos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16 y 22 inciso c) de la Ley 7969, </w:t>
      </w:r>
      <w:r>
        <w:rPr>
          <w:rStyle w:val="CharacterStyle1"/>
          <w:rFonts w:ascii="Verdana" w:hAnsi="Verdana" w:cs="Verdana"/>
          <w:i/>
          <w:iCs/>
          <w:sz w:val="22"/>
          <w:szCs w:val="22"/>
        </w:rPr>
        <w:t xml:space="preserve">se da por agotada la </w:t>
      </w:r>
      <w:r w:rsidR="009D5EE9">
        <w:rPr>
          <w:rStyle w:val="CharacterStyle1"/>
          <w:rFonts w:ascii="Verdana" w:hAnsi="Verdana" w:cs="Verdana"/>
          <w:i/>
          <w:iCs/>
          <w:sz w:val="22"/>
          <w:szCs w:val="22"/>
        </w:rPr>
        <w:t>vía</w:t>
      </w:r>
      <w:r>
        <w:rPr>
          <w:rStyle w:val="CharacterStyle1"/>
          <w:rFonts w:ascii="Verdana" w:hAnsi="Verdana" w:cs="Verdana"/>
          <w:i/>
          <w:iCs/>
          <w:sz w:val="22"/>
          <w:szCs w:val="22"/>
        </w:rPr>
        <w:t xml:space="preserve"> administrativa.</w:t>
      </w:r>
    </w:p>
    <w:p w:rsidR="001B2805" w:rsidRDefault="005F7701">
      <w:pPr>
        <w:pStyle w:val="Style1"/>
        <w:kinsoku w:val="0"/>
        <w:overflowPunct w:val="0"/>
        <w:autoSpaceDE/>
        <w:autoSpaceDN/>
        <w:adjustRightInd/>
        <w:spacing w:before="284" w:after="330" w:line="264" w:lineRule="exact"/>
        <w:ind w:left="648"/>
        <w:textAlignment w:val="baseline"/>
        <w:rPr>
          <w:rStyle w:val="CharacterStyle1"/>
          <w:rFonts w:ascii="Verdana" w:hAnsi="Verdana" w:cs="Verdana"/>
          <w:b/>
          <w:bCs/>
          <w:spacing w:val="-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-1"/>
          <w:sz w:val="22"/>
          <w:szCs w:val="22"/>
        </w:rPr>
        <w:t>NOTIFIQUESE.-</w:t>
      </w:r>
    </w:p>
    <w:p w:rsidR="001B2805" w:rsidRDefault="001B2805">
      <w:pPr>
        <w:ind w:left="4286" w:right="3525"/>
      </w:pPr>
    </w:p>
    <w:p w:rsidR="009D5EE9" w:rsidRDefault="009D5EE9">
      <w:pPr>
        <w:ind w:left="4286" w:right="3525"/>
      </w:pPr>
    </w:p>
    <w:p w:rsidR="009D5EE9" w:rsidRDefault="009D5EE9" w:rsidP="009D5EE9">
      <w:pPr>
        <w:ind w:left="567" w:right="-21"/>
        <w:jc w:val="center"/>
      </w:pPr>
      <w:r>
        <w:t>Lic. Carlos Miguel Portuguez Méndez</w:t>
      </w:r>
    </w:p>
    <w:p w:rsidR="009D5EE9" w:rsidRDefault="009D5EE9" w:rsidP="009D5EE9">
      <w:pPr>
        <w:ind w:left="567" w:right="-21"/>
        <w:jc w:val="center"/>
      </w:pPr>
      <w:r>
        <w:t>Presidente</w:t>
      </w:r>
    </w:p>
    <w:p w:rsidR="009D5EE9" w:rsidRDefault="009D5EE9" w:rsidP="009D5EE9">
      <w:pPr>
        <w:ind w:left="567" w:right="-21"/>
        <w:jc w:val="center"/>
      </w:pPr>
    </w:p>
    <w:p w:rsidR="009D5EE9" w:rsidRDefault="009D5EE9" w:rsidP="009D5EE9">
      <w:pPr>
        <w:ind w:left="567" w:right="-21"/>
        <w:jc w:val="center"/>
      </w:pPr>
    </w:p>
    <w:p w:rsidR="009D5EE9" w:rsidRDefault="009D5EE9" w:rsidP="009D5EE9">
      <w:pPr>
        <w:ind w:left="567" w:right="-21"/>
        <w:jc w:val="center"/>
      </w:pPr>
    </w:p>
    <w:p w:rsidR="009D5EE9" w:rsidRDefault="009D5EE9" w:rsidP="009D5EE9">
      <w:pPr>
        <w:ind w:left="567" w:right="-21"/>
      </w:pPr>
      <w:r>
        <w:t>Lic. Mario Quesada Aguirre</w:t>
      </w:r>
      <w:r>
        <w:tab/>
      </w:r>
      <w:r>
        <w:tab/>
      </w:r>
      <w:r>
        <w:tab/>
      </w:r>
      <w:r>
        <w:tab/>
        <w:t>Licda. Marta Luz Pérez Peláez</w:t>
      </w:r>
    </w:p>
    <w:p w:rsidR="009D5EE9" w:rsidRPr="009D5EE9" w:rsidRDefault="009D5EE9" w:rsidP="009D5EE9">
      <w:pPr>
        <w:ind w:left="567" w:right="-163"/>
        <w:rPr>
          <w:b/>
        </w:rPr>
      </w:pPr>
      <w:r>
        <w:tab/>
      </w:r>
      <w:r>
        <w:tab/>
        <w:t xml:space="preserve">  </w:t>
      </w:r>
      <w:r w:rsidRPr="009D5EE9">
        <w:rPr>
          <w:b/>
        </w:rPr>
        <w:t>Juez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Jueza</w:t>
      </w:r>
    </w:p>
    <w:sectPr w:rsidR="009D5EE9" w:rsidRPr="009D5EE9" w:rsidSect="009D5EE9">
      <w:pgSz w:w="12120" w:h="15840"/>
      <w:pgMar w:top="2260" w:right="1563" w:bottom="2127" w:left="7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5484"/>
    <w:multiLevelType w:val="singleLevel"/>
    <w:tmpl w:val="97E0133C"/>
    <w:lvl w:ilvl="0">
      <w:start w:val="1"/>
      <w:numFmt w:val="upperRoman"/>
      <w:lvlText w:val="%1.-"/>
      <w:lvlJc w:val="left"/>
      <w:pPr>
        <w:tabs>
          <w:tab w:val="num" w:pos="1440"/>
        </w:tabs>
        <w:ind w:left="648"/>
      </w:pPr>
      <w:rPr>
        <w:rFonts w:ascii="Verdana" w:hAnsi="Verdana" w:cs="Verdana"/>
        <w:b/>
        <w:snapToGrid/>
        <w:sz w:val="22"/>
        <w:szCs w:val="22"/>
      </w:rPr>
    </w:lvl>
  </w:abstractNum>
  <w:abstractNum w:abstractNumId="1">
    <w:nsid w:val="06D36E86"/>
    <w:multiLevelType w:val="singleLevel"/>
    <w:tmpl w:val="22C9C1C6"/>
    <w:lvl w:ilvl="0">
      <w:numFmt w:val="bullet"/>
      <w:suff w:val="nothing"/>
      <w:lvlText w:val="·"/>
      <w:lvlJc w:val="left"/>
      <w:pPr>
        <w:tabs>
          <w:tab w:val="num" w:pos="72"/>
        </w:tabs>
        <w:ind w:left="72"/>
      </w:pPr>
      <w:rPr>
        <w:rFonts w:ascii="Symbol" w:hAnsi="Symbol" w:cs="Symbol"/>
        <w:snapToGrid/>
        <w:sz w:val="17"/>
        <w:szCs w:val="17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F14352"/>
    <w:rsid w:val="001B2805"/>
    <w:rsid w:val="00370056"/>
    <w:rsid w:val="005C4EEB"/>
    <w:rsid w:val="005E63C3"/>
    <w:rsid w:val="005F7701"/>
    <w:rsid w:val="009D5EE9"/>
    <w:rsid w:val="00F1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05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B2805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1B28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2014-10-27T19:18:00Z</dcterms:created>
  <dcterms:modified xsi:type="dcterms:W3CDTF">2015-07-01T17:55:00Z</dcterms:modified>
</cp:coreProperties>
</file>